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adjustRightInd/>
        <w:snapToGrid/>
        <w:spacing w:line="460" w:lineRule="exact"/>
        <w:ind w:left="0" w:leftChars="0" w:right="0" w:rightChars="0"/>
        <w:jc w:val="center"/>
        <w:textAlignment w:val="auto"/>
        <w:outlineLvl w:val="9"/>
        <w:rPr>
          <w:rFonts w:hint="eastAsia" w:ascii="华文仿宋" w:hAnsi="华文仿宋" w:eastAsia="华文仿宋" w:cs="华文仿宋"/>
          <w:bCs/>
          <w:color w:val="auto"/>
          <w:kern w:val="0"/>
          <w:sz w:val="30"/>
          <w:szCs w:val="30"/>
          <w:lang w:val="zh-CN"/>
        </w:rPr>
      </w:pP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center"/>
        <w:textAlignment w:val="auto"/>
        <w:outlineLvl w:val="9"/>
        <w:rPr>
          <w:rFonts w:hint="eastAsia" w:ascii="黑体" w:hAnsi="黑体" w:eastAsia="黑体" w:cs="黑体"/>
          <w:b/>
          <w:bCs w:val="0"/>
          <w:color w:val="auto"/>
          <w:sz w:val="36"/>
          <w:szCs w:val="36"/>
          <w:lang w:val="zh-CN" w:eastAsia="zh-CN"/>
        </w:rPr>
      </w:pPr>
      <w:r>
        <w:rPr>
          <w:rFonts w:hint="eastAsia" w:ascii="黑体" w:hAnsi="黑体" w:eastAsia="黑体" w:cs="黑体"/>
          <w:b/>
          <w:bCs w:val="0"/>
          <w:color w:val="auto"/>
          <w:kern w:val="0"/>
          <w:sz w:val="36"/>
          <w:szCs w:val="36"/>
          <w:lang w:val="zh-CN"/>
        </w:rPr>
        <w:t>关</w:t>
      </w:r>
      <w:r>
        <w:rPr>
          <w:rFonts w:hint="eastAsia" w:ascii="黑体" w:hAnsi="黑体" w:eastAsia="黑体" w:cs="黑体"/>
          <w:b/>
          <w:bCs w:val="0"/>
          <w:color w:val="auto"/>
          <w:sz w:val="36"/>
          <w:szCs w:val="36"/>
          <w:lang w:val="zh-CN" w:eastAsia="zh-CN"/>
        </w:rPr>
        <w:t>于做好我校 2022 年高校思想政治工作骨干</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center"/>
        <w:textAlignment w:val="auto"/>
        <w:outlineLvl w:val="9"/>
        <w:rPr>
          <w:rFonts w:hint="eastAsia" w:ascii="黑体" w:hAnsi="黑体" w:eastAsia="黑体" w:cs="黑体"/>
          <w:b/>
          <w:bCs w:val="0"/>
          <w:color w:val="auto"/>
          <w:kern w:val="0"/>
          <w:sz w:val="36"/>
          <w:szCs w:val="36"/>
          <w:lang w:val="zh-CN"/>
        </w:rPr>
      </w:pPr>
      <w:r>
        <w:rPr>
          <w:rFonts w:hint="eastAsia" w:ascii="黑体" w:hAnsi="黑体" w:eastAsia="黑体" w:cs="黑体"/>
          <w:b/>
          <w:bCs w:val="0"/>
          <w:color w:val="auto"/>
          <w:sz w:val="36"/>
          <w:szCs w:val="36"/>
          <w:lang w:val="zh-CN" w:eastAsia="zh-CN"/>
        </w:rPr>
        <w:t>在职攻读博士学位专项计划推荐工作</w:t>
      </w:r>
      <w:r>
        <w:rPr>
          <w:rFonts w:hint="eastAsia" w:ascii="黑体" w:hAnsi="黑体" w:eastAsia="黑体" w:cs="黑体"/>
          <w:b/>
          <w:bCs w:val="0"/>
          <w:color w:val="auto"/>
          <w:sz w:val="36"/>
          <w:szCs w:val="36"/>
          <w:lang w:eastAsia="zh-CN"/>
        </w:rPr>
        <w:t>的通知</w:t>
      </w:r>
    </w:p>
    <w:p>
      <w:pPr>
        <w:keepNext w:val="0"/>
        <w:keepLines w:val="0"/>
        <w:pageBreakBefore w:val="0"/>
        <w:kinsoku/>
        <w:wordWrap/>
        <w:overflowPunct/>
        <w:topLinePunct w:val="0"/>
        <w:autoSpaceDE/>
        <w:autoSpaceDN/>
        <w:bidi w:val="0"/>
        <w:adjustRightInd/>
        <w:snapToGrid/>
        <w:spacing w:line="500" w:lineRule="exact"/>
        <w:ind w:left="0" w:leftChars="0" w:right="0" w:rightChars="0"/>
        <w:jc w:val="center"/>
        <w:textAlignment w:val="auto"/>
        <w:outlineLvl w:val="9"/>
        <w:rPr>
          <w:rFonts w:hint="eastAsia" w:ascii="仿宋_GB2312" w:hAnsi="仿宋_GB2312" w:eastAsia="仿宋_GB2312" w:cs="仿宋_GB2312"/>
          <w:bCs/>
          <w:color w:val="auto"/>
          <w:sz w:val="30"/>
          <w:szCs w:val="30"/>
          <w:lang w:val="zh-CN"/>
        </w:rPr>
      </w:pPr>
    </w:p>
    <w:p>
      <w:pPr>
        <w:keepNext w:val="0"/>
        <w:keepLines w:val="0"/>
        <w:pageBreakBefore w:val="0"/>
        <w:kinsoku/>
        <w:wordWrap/>
        <w:overflowPunct/>
        <w:topLinePunct w:val="0"/>
        <w:autoSpaceDE/>
        <w:autoSpaceDN/>
        <w:bidi w:val="0"/>
        <w:adjustRightInd/>
        <w:snapToGrid/>
        <w:spacing w:line="500" w:lineRule="exact"/>
        <w:ind w:left="0" w:leftChars="0" w:right="0" w:rightChars="0"/>
        <w:jc w:val="both"/>
        <w:textAlignment w:val="auto"/>
        <w:outlineLvl w:val="9"/>
        <w:rPr>
          <w:rFonts w:hint="eastAsia" w:ascii="仿宋_GB2312" w:hAnsi="仿宋_GB2312" w:eastAsia="仿宋_GB2312" w:cs="仿宋_GB2312"/>
          <w:bCs/>
          <w:color w:val="auto"/>
          <w:sz w:val="28"/>
          <w:szCs w:val="28"/>
          <w:lang w:val="zh-CN"/>
        </w:rPr>
      </w:pPr>
      <w:r>
        <w:rPr>
          <w:rFonts w:hint="eastAsia" w:ascii="仿宋_GB2312" w:hAnsi="仿宋_GB2312" w:eastAsia="仿宋_GB2312" w:cs="仿宋_GB2312"/>
          <w:bCs/>
          <w:color w:val="auto"/>
          <w:sz w:val="28"/>
          <w:szCs w:val="28"/>
          <w:lang w:val="zh-CN"/>
        </w:rPr>
        <w:t>校属各单位：</w:t>
      </w: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hAnsi="仿宋_GB2312" w:cs="仿宋_GB2312"/>
          <w:bCs/>
          <w:color w:val="auto"/>
          <w:sz w:val="28"/>
          <w:szCs w:val="28"/>
          <w:lang w:val="en-US" w:eastAsia="zh-CN"/>
        </w:rPr>
      </w:pPr>
      <w:r>
        <w:rPr>
          <w:rFonts w:hint="eastAsia" w:hAnsi="仿宋_GB2312" w:cs="仿宋_GB2312"/>
          <w:bCs/>
          <w:color w:val="auto"/>
          <w:sz w:val="28"/>
          <w:szCs w:val="28"/>
          <w:lang w:val="en-US" w:eastAsia="zh-CN"/>
        </w:rPr>
        <w:t xml:space="preserve">   根据《教育部办公厅关于做好 2022 年高校思想政治工作骨干在职攻读博士学位专项计划工作的通知》（教思政厅函〔2022〕1</w:t>
      </w:r>
      <w:r>
        <w:rPr>
          <w:rFonts w:hint="default" w:hAnsi="仿宋_GB2312" w:cs="仿宋_GB2312"/>
          <w:bCs/>
          <w:color w:val="auto"/>
          <w:sz w:val="28"/>
          <w:szCs w:val="28"/>
          <w:lang w:val="en-US" w:eastAsia="zh-CN"/>
        </w:rPr>
        <w:t xml:space="preserve"> </w:t>
      </w:r>
      <w:r>
        <w:rPr>
          <w:rFonts w:hint="eastAsia" w:hAnsi="仿宋_GB2312" w:cs="仿宋_GB2312"/>
          <w:bCs/>
          <w:color w:val="auto"/>
          <w:sz w:val="28"/>
          <w:szCs w:val="28"/>
          <w:lang w:val="en-US" w:eastAsia="zh-CN"/>
        </w:rPr>
        <w:t>号）、《转发教育部办公厅关于做好 2022 年高校思想政治工作骨干在职攻读博士学位专项计划工作的通知》以及</w:t>
      </w:r>
      <w:r>
        <w:rPr>
          <w:rFonts w:hint="eastAsia" w:hAnsi="仿宋_GB2312" w:cs="仿宋_GB2312"/>
          <w:bCs/>
          <w:sz w:val="28"/>
          <w:szCs w:val="28"/>
          <w:lang w:val="zh-CN"/>
        </w:rPr>
        <w:t>《湖南科技学院选送教职员工攻读委培博士相关规定》（湘科院校发〔2019〕84 号）、《湖南科技学院选送教职工攻读博士学位的补充规定》（湘科院校发〔2020〕56 号）等文件精神</w:t>
      </w:r>
      <w:r>
        <w:rPr>
          <w:rFonts w:hint="eastAsia" w:ascii="仿宋_GB2312" w:hAnsi="仿宋_GB2312" w:eastAsia="仿宋_GB2312" w:cs="仿宋_GB2312"/>
          <w:bCs/>
          <w:color w:val="auto"/>
          <w:sz w:val="28"/>
          <w:szCs w:val="28"/>
          <w:lang w:eastAsia="zh-CN"/>
        </w:rPr>
        <w:t>的有关规定，</w:t>
      </w:r>
      <w:r>
        <w:rPr>
          <w:rFonts w:hint="eastAsia" w:ascii="仿宋_GB2312" w:hAnsi="仿宋_GB2312" w:eastAsia="仿宋_GB2312" w:cs="仿宋_GB2312"/>
          <w:bCs/>
          <w:color w:val="auto"/>
          <w:sz w:val="28"/>
          <w:szCs w:val="28"/>
        </w:rPr>
        <w:t>现就</w:t>
      </w:r>
      <w:r>
        <w:rPr>
          <w:rFonts w:hint="eastAsia" w:hAnsi="仿宋_GB2312" w:cs="仿宋_GB2312"/>
          <w:bCs/>
          <w:color w:val="auto"/>
          <w:sz w:val="28"/>
          <w:szCs w:val="28"/>
          <w:lang w:eastAsia="zh-CN"/>
        </w:rPr>
        <w:t>相关推荐</w:t>
      </w:r>
      <w:r>
        <w:rPr>
          <w:rFonts w:hint="eastAsia" w:ascii="仿宋_GB2312" w:hAnsi="仿宋_GB2312" w:eastAsia="仿宋_GB2312" w:cs="仿宋_GB2312"/>
          <w:bCs/>
          <w:color w:val="auto"/>
          <w:sz w:val="28"/>
          <w:szCs w:val="28"/>
        </w:rPr>
        <w:t>工作通知如下：</w:t>
      </w:r>
    </w:p>
    <w:p>
      <w:pPr>
        <w:keepNext w:val="0"/>
        <w:keepLines w:val="0"/>
        <w:pageBreakBefore w:val="0"/>
        <w:kinsoku/>
        <w:wordWrap/>
        <w:overflowPunct/>
        <w:topLinePunct w:val="0"/>
        <w:autoSpaceDE/>
        <w:autoSpaceDN/>
        <w:bidi w:val="0"/>
        <w:adjustRightInd/>
        <w:snapToGrid/>
        <w:spacing w:line="500" w:lineRule="exact"/>
        <w:ind w:left="0" w:leftChars="0" w:right="0" w:rightChars="0" w:firstLine="602" w:firstLineChars="200"/>
        <w:jc w:val="both"/>
        <w:textAlignment w:val="auto"/>
        <w:outlineLvl w:val="9"/>
        <w:rPr>
          <w:rFonts w:hint="eastAsia" w:hAnsi="仿宋_GB2312" w:cs="仿宋_GB2312"/>
          <w:b/>
          <w:bCs w:val="0"/>
          <w:color w:val="auto"/>
          <w:sz w:val="30"/>
          <w:szCs w:val="30"/>
          <w:lang w:val="en-US" w:eastAsia="zh-CN"/>
        </w:rPr>
      </w:pPr>
      <w:r>
        <w:rPr>
          <w:rFonts w:hint="eastAsia" w:hAnsi="仿宋_GB2312" w:cs="仿宋_GB2312"/>
          <w:b/>
          <w:bCs w:val="0"/>
          <w:color w:val="auto"/>
          <w:sz w:val="30"/>
          <w:szCs w:val="30"/>
          <w:lang w:val="en-US" w:eastAsia="zh-CN"/>
        </w:rPr>
        <w:t>一、报考条件</w:t>
      </w:r>
    </w:p>
    <w:p>
      <w:pPr>
        <w:keepNext w:val="0"/>
        <w:keepLines w:val="0"/>
        <w:pageBreakBefore w:val="0"/>
        <w:numPr>
          <w:ilvl w:val="0"/>
          <w:numId w:val="0"/>
        </w:numPr>
        <w:kinsoku/>
        <w:wordWrap/>
        <w:overflowPunct/>
        <w:topLinePunct w:val="0"/>
        <w:autoSpaceDE/>
        <w:autoSpaceDN/>
        <w:bidi w:val="0"/>
        <w:adjustRightInd/>
        <w:snapToGrid/>
        <w:spacing w:line="500" w:lineRule="exact"/>
        <w:ind w:right="0" w:rightChars="0" w:firstLine="560" w:firstLineChars="200"/>
        <w:jc w:val="both"/>
        <w:textAlignment w:val="auto"/>
        <w:outlineLvl w:val="9"/>
        <w:rPr>
          <w:rFonts w:hint="default" w:hAnsi="仿宋_GB2312" w:cs="仿宋_GB2312"/>
          <w:bCs/>
          <w:color w:val="auto"/>
          <w:sz w:val="28"/>
          <w:szCs w:val="28"/>
          <w:lang w:val="en-US" w:eastAsia="zh-CN"/>
        </w:rPr>
      </w:pPr>
      <w:r>
        <w:rPr>
          <w:rFonts w:hint="eastAsia" w:hAnsi="仿宋_GB2312" w:cs="仿宋_GB2312"/>
          <w:bCs/>
          <w:color w:val="auto"/>
          <w:sz w:val="28"/>
          <w:szCs w:val="28"/>
          <w:lang w:val="en-US" w:eastAsia="zh-CN"/>
        </w:rPr>
        <w:t>1.报考人员</w:t>
      </w:r>
      <w:r>
        <w:rPr>
          <w:rFonts w:hint="default" w:hAnsi="仿宋_GB2312" w:cs="仿宋_GB2312"/>
          <w:bCs/>
          <w:color w:val="auto"/>
          <w:sz w:val="28"/>
          <w:szCs w:val="28"/>
          <w:lang w:val="en-US" w:eastAsia="zh-CN"/>
        </w:rPr>
        <w:t>须专职从事高校党务或思想政治工作，且在职在岗，高校思政课教师另执行其他专项计划，不在此范畴。截至相应高校博士研究生报名之日，报考人员应专职从事高校党务或思想政治工作满3年，且具有硕士学位，有2名具有相关学科的副教授及以上职称(或相当职称)的专家推荐</w:t>
      </w:r>
      <w:r>
        <w:rPr>
          <w:rFonts w:hint="eastAsia" w:hAnsi="仿宋_GB2312" w:cs="仿宋_GB2312"/>
          <w:bCs/>
          <w:color w:val="auto"/>
          <w:sz w:val="28"/>
          <w:szCs w:val="28"/>
          <w:lang w:val="en-US" w:eastAsia="zh-CN"/>
        </w:rPr>
        <w:t>，</w:t>
      </w:r>
      <w:r>
        <w:rPr>
          <w:rFonts w:hint="default" w:hAnsi="仿宋_GB2312" w:cs="仿宋_GB2312"/>
          <w:bCs/>
          <w:color w:val="auto"/>
          <w:sz w:val="28"/>
          <w:szCs w:val="28"/>
          <w:lang w:val="en-US" w:eastAsia="zh-CN"/>
        </w:rPr>
        <w:t>本科、硕士所学专业不受限制。</w:t>
      </w:r>
    </w:p>
    <w:p>
      <w:pPr>
        <w:keepNext w:val="0"/>
        <w:keepLines w:val="0"/>
        <w:pageBreakBefore w:val="0"/>
        <w:numPr>
          <w:ilvl w:val="0"/>
          <w:numId w:val="0"/>
        </w:numPr>
        <w:kinsoku/>
        <w:wordWrap/>
        <w:overflowPunct/>
        <w:topLinePunct w:val="0"/>
        <w:autoSpaceDE/>
        <w:autoSpaceDN/>
        <w:bidi w:val="0"/>
        <w:adjustRightInd/>
        <w:snapToGrid/>
        <w:spacing w:line="500" w:lineRule="exact"/>
        <w:ind w:right="0" w:rightChars="0" w:firstLine="560" w:firstLineChars="200"/>
        <w:jc w:val="both"/>
        <w:textAlignment w:val="auto"/>
        <w:outlineLvl w:val="9"/>
        <w:rPr>
          <w:rFonts w:hint="default" w:hAnsi="仿宋_GB2312" w:cs="仿宋_GB2312"/>
          <w:bCs/>
          <w:color w:val="auto"/>
          <w:sz w:val="28"/>
          <w:szCs w:val="28"/>
          <w:lang w:val="en-US" w:eastAsia="zh-CN"/>
        </w:rPr>
      </w:pPr>
      <w:r>
        <w:rPr>
          <w:rFonts w:hint="eastAsia" w:hAnsi="仿宋_GB2312" w:cs="仿宋_GB2312"/>
          <w:bCs/>
          <w:color w:val="auto"/>
          <w:sz w:val="28"/>
          <w:szCs w:val="28"/>
          <w:lang w:val="en-US" w:eastAsia="zh-CN"/>
        </w:rPr>
        <w:t>2.</w:t>
      </w:r>
      <w:r>
        <w:rPr>
          <w:rFonts w:hint="default" w:hAnsi="仿宋_GB2312" w:cs="仿宋_GB2312"/>
          <w:bCs/>
          <w:color w:val="auto"/>
          <w:sz w:val="28"/>
          <w:szCs w:val="28"/>
          <w:lang w:val="en-US" w:eastAsia="zh-CN"/>
        </w:rPr>
        <w:t>年龄不超过45周岁(1977年1月1日(含)以后出生)，身体健康状况符合报考招生单位规定的体检要求。</w:t>
      </w:r>
    </w:p>
    <w:p>
      <w:pPr>
        <w:keepNext w:val="0"/>
        <w:keepLines w:val="0"/>
        <w:pageBreakBefore w:val="0"/>
        <w:numPr>
          <w:ilvl w:val="0"/>
          <w:numId w:val="0"/>
        </w:numPr>
        <w:kinsoku/>
        <w:wordWrap/>
        <w:overflowPunct/>
        <w:topLinePunct w:val="0"/>
        <w:autoSpaceDE/>
        <w:autoSpaceDN/>
        <w:bidi w:val="0"/>
        <w:adjustRightInd/>
        <w:snapToGrid/>
        <w:spacing w:line="500" w:lineRule="exact"/>
        <w:ind w:right="0" w:rightChars="0" w:firstLine="560" w:firstLineChars="200"/>
        <w:jc w:val="both"/>
        <w:textAlignment w:val="auto"/>
        <w:outlineLvl w:val="9"/>
        <w:rPr>
          <w:rFonts w:hint="default" w:hAnsi="仿宋_GB2312" w:cs="仿宋_GB2312"/>
          <w:bCs/>
          <w:color w:val="auto"/>
          <w:sz w:val="28"/>
          <w:szCs w:val="28"/>
          <w:lang w:val="en-US" w:eastAsia="zh-CN"/>
        </w:rPr>
      </w:pPr>
      <w:r>
        <w:rPr>
          <w:rFonts w:hint="eastAsia" w:hAnsi="仿宋_GB2312" w:cs="仿宋_GB2312"/>
          <w:bCs/>
          <w:color w:val="auto"/>
          <w:sz w:val="28"/>
          <w:szCs w:val="28"/>
          <w:lang w:val="en-US" w:eastAsia="zh-CN"/>
        </w:rPr>
        <w:t>3.报考人员须有志于长期从事高校思想政治工作和党务工作，其中专职辅导员须在就读期间和毕业后一定年限内持续从事专职辅导员工作。</w:t>
      </w:r>
    </w:p>
    <w:p>
      <w:pPr>
        <w:keepNext w:val="0"/>
        <w:keepLines w:val="0"/>
        <w:pageBreakBefore w:val="0"/>
        <w:kinsoku/>
        <w:wordWrap/>
        <w:overflowPunct/>
        <w:topLinePunct w:val="0"/>
        <w:autoSpaceDE/>
        <w:autoSpaceDN/>
        <w:bidi w:val="0"/>
        <w:adjustRightInd/>
        <w:snapToGrid/>
        <w:spacing w:line="500" w:lineRule="exact"/>
        <w:ind w:left="0" w:leftChars="0" w:right="0" w:rightChars="0" w:firstLine="602" w:firstLineChars="200"/>
        <w:jc w:val="both"/>
        <w:textAlignment w:val="auto"/>
        <w:outlineLvl w:val="9"/>
        <w:rPr>
          <w:rFonts w:hint="eastAsia" w:hAnsi="仿宋_GB2312" w:cs="仿宋_GB2312"/>
          <w:b/>
          <w:bCs w:val="0"/>
          <w:color w:val="auto"/>
          <w:sz w:val="30"/>
          <w:szCs w:val="30"/>
          <w:lang w:val="en-US" w:eastAsia="zh-CN"/>
        </w:rPr>
      </w:pPr>
      <w:r>
        <w:rPr>
          <w:rFonts w:hint="eastAsia" w:hAnsi="仿宋_GB2312" w:cs="仿宋_GB2312"/>
          <w:b/>
          <w:bCs w:val="0"/>
          <w:color w:val="auto"/>
          <w:sz w:val="30"/>
          <w:szCs w:val="30"/>
          <w:lang w:val="en-US" w:eastAsia="zh-CN"/>
        </w:rPr>
        <w:t>二、推荐程序</w:t>
      </w:r>
    </w:p>
    <w:p>
      <w:pPr>
        <w:keepNext w:val="0"/>
        <w:keepLines w:val="0"/>
        <w:pageBreakBefore w:val="0"/>
        <w:kinsoku/>
        <w:wordWrap/>
        <w:overflowPunct/>
        <w:topLinePunct w:val="0"/>
        <w:autoSpaceDE/>
        <w:autoSpaceDN/>
        <w:bidi w:val="0"/>
        <w:adjustRightInd/>
        <w:snapToGrid/>
        <w:spacing w:line="500" w:lineRule="exact"/>
        <w:ind w:right="0" w:rightChars="0" w:firstLine="560" w:firstLineChars="200"/>
        <w:jc w:val="both"/>
        <w:textAlignment w:val="auto"/>
        <w:outlineLvl w:val="9"/>
        <w:rPr>
          <w:rFonts w:hint="eastAsia" w:hAnsi="仿宋_GB2312" w:cs="仿宋_GB2312"/>
          <w:b/>
          <w:bCs w:val="0"/>
          <w:color w:val="auto"/>
          <w:sz w:val="28"/>
          <w:szCs w:val="28"/>
          <w:lang w:val="en-US" w:eastAsia="zh-CN"/>
        </w:rPr>
      </w:pPr>
      <w:r>
        <w:rPr>
          <w:rFonts w:hint="eastAsia" w:hAnsi="仿宋_GB2312" w:cs="仿宋_GB2312"/>
          <w:bCs/>
          <w:color w:val="auto"/>
          <w:sz w:val="28"/>
          <w:szCs w:val="28"/>
          <w:lang w:val="en-US" w:eastAsia="zh-CN"/>
        </w:rPr>
        <w:t>个人申报——部门资格审查及推荐——学校党委会审定——推荐对象办理报考手续。</w:t>
      </w:r>
    </w:p>
    <w:p>
      <w:pPr>
        <w:keepNext w:val="0"/>
        <w:keepLines w:val="0"/>
        <w:pageBreakBefore w:val="0"/>
        <w:kinsoku/>
        <w:wordWrap/>
        <w:overflowPunct/>
        <w:topLinePunct w:val="0"/>
        <w:autoSpaceDE/>
        <w:autoSpaceDN/>
        <w:bidi w:val="0"/>
        <w:adjustRightInd/>
        <w:snapToGrid/>
        <w:spacing w:line="500" w:lineRule="exact"/>
        <w:ind w:left="0" w:leftChars="0" w:right="0" w:rightChars="0" w:firstLine="562" w:firstLineChars="200"/>
        <w:textAlignment w:val="auto"/>
        <w:outlineLvl w:val="9"/>
        <w:rPr>
          <w:rFonts w:hint="eastAsia" w:ascii="仿宋_GB2312" w:hAnsi="仿宋_GB2312" w:eastAsia="仿宋_GB2312" w:cs="仿宋_GB2312"/>
          <w:b/>
          <w:bCs w:val="0"/>
          <w:color w:val="auto"/>
          <w:sz w:val="28"/>
          <w:szCs w:val="28"/>
          <w:lang w:eastAsia="zh-CN"/>
        </w:rPr>
      </w:pPr>
      <w:r>
        <w:rPr>
          <w:rFonts w:hint="eastAsia" w:hAnsi="仿宋_GB2312" w:cs="仿宋_GB2312"/>
          <w:b/>
          <w:bCs w:val="0"/>
          <w:color w:val="auto"/>
          <w:sz w:val="28"/>
          <w:szCs w:val="28"/>
          <w:lang w:eastAsia="zh-CN"/>
        </w:rPr>
        <w:t>三</w:t>
      </w:r>
      <w:r>
        <w:rPr>
          <w:rFonts w:hint="eastAsia" w:ascii="仿宋_GB2312" w:hAnsi="仿宋_GB2312" w:eastAsia="仿宋_GB2312" w:cs="仿宋_GB2312"/>
          <w:b/>
          <w:bCs w:val="0"/>
          <w:color w:val="auto"/>
          <w:sz w:val="28"/>
          <w:szCs w:val="28"/>
          <w:lang w:eastAsia="zh-CN"/>
        </w:rPr>
        <w:t>、材料报送</w:t>
      </w:r>
    </w:p>
    <w:p>
      <w:pPr>
        <w:keepNext w:val="0"/>
        <w:keepLines w:val="0"/>
        <w:pageBreakBefore w:val="0"/>
        <w:kinsoku/>
        <w:wordWrap/>
        <w:overflowPunct/>
        <w:topLinePunct w:val="0"/>
        <w:autoSpaceDE/>
        <w:autoSpaceDN/>
        <w:bidi w:val="0"/>
        <w:adjustRightInd/>
        <w:snapToGrid/>
        <w:spacing w:line="500" w:lineRule="exact"/>
        <w:ind w:left="0" w:leftChars="0" w:right="0" w:rightChars="0" w:firstLine="560" w:firstLineChars="200"/>
        <w:textAlignment w:val="auto"/>
        <w:outlineLvl w:val="9"/>
        <w:rPr>
          <w:rFonts w:hint="eastAsia" w:hAnsi="仿宋_GB2312" w:cs="仿宋_GB2312"/>
          <w:bCs/>
          <w:color w:val="auto"/>
          <w:sz w:val="28"/>
          <w:szCs w:val="28"/>
          <w:lang w:eastAsia="zh-CN"/>
        </w:rPr>
      </w:pPr>
      <w:r>
        <w:rPr>
          <w:rFonts w:hint="eastAsia" w:ascii="仿宋_GB2312" w:hAnsi="仿宋_GB2312" w:eastAsia="仿宋_GB2312" w:cs="仿宋_GB2312"/>
          <w:bCs/>
          <w:color w:val="auto"/>
          <w:sz w:val="28"/>
          <w:szCs w:val="28"/>
          <w:lang w:eastAsia="zh-CN"/>
        </w:rPr>
        <w:t>请各</w:t>
      </w:r>
      <w:r>
        <w:rPr>
          <w:rFonts w:hint="eastAsia" w:hAnsi="仿宋_GB2312" w:cs="仿宋_GB2312"/>
          <w:bCs/>
          <w:color w:val="auto"/>
          <w:sz w:val="28"/>
          <w:szCs w:val="28"/>
          <w:lang w:eastAsia="zh-CN"/>
        </w:rPr>
        <w:t>推荐</w:t>
      </w:r>
      <w:r>
        <w:rPr>
          <w:rFonts w:hint="eastAsia" w:ascii="仿宋_GB2312" w:hAnsi="仿宋_GB2312" w:eastAsia="仿宋_GB2312" w:cs="仿宋_GB2312"/>
          <w:bCs/>
          <w:color w:val="auto"/>
          <w:sz w:val="28"/>
          <w:szCs w:val="28"/>
          <w:lang w:eastAsia="zh-CN"/>
        </w:rPr>
        <w:t>单位将《湖南科技学院</w:t>
      </w:r>
      <w:r>
        <w:rPr>
          <w:rFonts w:hint="eastAsia" w:hAnsi="仿宋_GB2312" w:cs="仿宋_GB2312"/>
          <w:bCs/>
          <w:color w:val="auto"/>
          <w:sz w:val="28"/>
          <w:szCs w:val="28"/>
          <w:lang w:val="en-US" w:eastAsia="zh-CN"/>
        </w:rPr>
        <w:t>2022年高校思想政治工作骨干在职攻读博士学位</w:t>
      </w:r>
      <w:r>
        <w:rPr>
          <w:rFonts w:hint="eastAsia" w:hAnsi="仿宋_GB2312" w:cs="仿宋_GB2312"/>
          <w:bCs/>
          <w:color w:val="auto"/>
          <w:sz w:val="28"/>
          <w:szCs w:val="28"/>
          <w:lang w:eastAsia="zh-CN"/>
        </w:rPr>
        <w:t>推荐</w:t>
      </w:r>
      <w:r>
        <w:rPr>
          <w:rFonts w:hint="eastAsia" w:ascii="仿宋_GB2312" w:hAnsi="仿宋_GB2312" w:eastAsia="仿宋_GB2312" w:cs="仿宋_GB2312"/>
          <w:bCs/>
          <w:color w:val="auto"/>
          <w:sz w:val="28"/>
          <w:szCs w:val="28"/>
          <w:lang w:eastAsia="zh-CN"/>
        </w:rPr>
        <w:t>人员基本情况表》</w:t>
      </w:r>
      <w:r>
        <w:rPr>
          <w:rFonts w:hint="eastAsia" w:hAnsi="仿宋_GB2312" w:cs="仿宋_GB2312"/>
          <w:bCs/>
          <w:color w:val="auto"/>
          <w:sz w:val="28"/>
          <w:szCs w:val="28"/>
          <w:lang w:eastAsia="zh-CN"/>
        </w:rPr>
        <w:t>和《湖南科技学院教职工申请读博审批表》经相关部门签章后，纸质稿</w:t>
      </w:r>
      <w:r>
        <w:rPr>
          <w:rFonts w:hint="eastAsia" w:ascii="仿宋_GB2312" w:hAnsi="仿宋_GB2312" w:eastAsia="仿宋_GB2312" w:cs="仿宋_GB2312"/>
          <w:bCs/>
          <w:color w:val="auto"/>
          <w:sz w:val="28"/>
          <w:szCs w:val="28"/>
          <w:lang w:eastAsia="zh-CN"/>
        </w:rPr>
        <w:t>于</w:t>
      </w:r>
      <w:r>
        <w:rPr>
          <w:rFonts w:hint="eastAsia" w:hAnsi="仿宋_GB2312" w:cs="仿宋_GB2312"/>
          <w:bCs/>
          <w:color w:val="auto"/>
          <w:sz w:val="28"/>
          <w:szCs w:val="28"/>
          <w:lang w:val="en-US" w:eastAsia="zh-CN"/>
        </w:rPr>
        <w:t>2</w:t>
      </w:r>
      <w:r>
        <w:rPr>
          <w:rFonts w:hint="eastAsia" w:ascii="仿宋_GB2312" w:hAnsi="仿宋_GB2312" w:eastAsia="仿宋_GB2312" w:cs="仿宋_GB2312"/>
          <w:bCs/>
          <w:color w:val="auto"/>
          <w:sz w:val="28"/>
          <w:szCs w:val="28"/>
          <w:lang w:val="en-US" w:eastAsia="zh-CN"/>
        </w:rPr>
        <w:t>月</w:t>
      </w:r>
      <w:r>
        <w:rPr>
          <w:rFonts w:hint="eastAsia" w:hAnsi="仿宋_GB2312" w:cs="仿宋_GB2312"/>
          <w:bCs/>
          <w:color w:val="auto"/>
          <w:sz w:val="28"/>
          <w:szCs w:val="28"/>
          <w:lang w:val="en-US" w:eastAsia="zh-CN"/>
        </w:rPr>
        <w:t>17</w:t>
      </w:r>
      <w:r>
        <w:rPr>
          <w:rFonts w:hint="eastAsia" w:ascii="仿宋_GB2312" w:hAnsi="仿宋_GB2312" w:eastAsia="仿宋_GB2312" w:cs="仿宋_GB2312"/>
          <w:bCs/>
          <w:color w:val="auto"/>
          <w:sz w:val="28"/>
          <w:szCs w:val="28"/>
          <w:lang w:val="en-US" w:eastAsia="zh-CN"/>
        </w:rPr>
        <w:t>日下午</w:t>
      </w:r>
      <w:r>
        <w:rPr>
          <w:rFonts w:hint="eastAsia" w:hAnsi="仿宋_GB2312" w:cs="仿宋_GB2312"/>
          <w:bCs/>
          <w:color w:val="auto"/>
          <w:sz w:val="28"/>
          <w:szCs w:val="28"/>
          <w:lang w:val="en-US" w:eastAsia="zh-CN"/>
        </w:rPr>
        <w:t>3</w:t>
      </w:r>
      <w:r>
        <w:rPr>
          <w:rFonts w:hint="eastAsia" w:ascii="仿宋_GB2312" w:hAnsi="仿宋_GB2312" w:eastAsia="仿宋_GB2312" w:cs="仿宋_GB2312"/>
          <w:bCs/>
          <w:color w:val="auto"/>
          <w:sz w:val="28"/>
          <w:szCs w:val="28"/>
          <w:lang w:val="en-US" w:eastAsia="zh-CN"/>
        </w:rPr>
        <w:t>点前统一报送人事处521办公室</w:t>
      </w:r>
      <w:r>
        <w:rPr>
          <w:rFonts w:hint="eastAsia" w:hAnsi="仿宋_GB2312" w:cs="仿宋_GB2312"/>
          <w:bCs/>
          <w:color w:val="auto"/>
          <w:sz w:val="28"/>
          <w:szCs w:val="28"/>
          <w:lang w:val="en-US" w:eastAsia="zh-CN"/>
        </w:rPr>
        <w:t>艾小马老师</w:t>
      </w:r>
      <w:r>
        <w:rPr>
          <w:rFonts w:hint="eastAsia" w:ascii="仿宋_GB2312" w:hAnsi="仿宋_GB2312" w:eastAsia="仿宋_GB2312" w:cs="仿宋_GB2312"/>
          <w:bCs/>
          <w:color w:val="auto"/>
          <w:sz w:val="28"/>
          <w:szCs w:val="28"/>
          <w:lang w:val="en-US" w:eastAsia="zh-CN"/>
        </w:rPr>
        <w:t>处</w:t>
      </w:r>
      <w:r>
        <w:rPr>
          <w:rFonts w:hint="eastAsia" w:hAnsi="仿宋_GB2312" w:cs="仿宋_GB2312"/>
          <w:bCs/>
          <w:color w:val="auto"/>
          <w:sz w:val="28"/>
          <w:szCs w:val="28"/>
          <w:lang w:val="en-US" w:eastAsia="zh-CN"/>
        </w:rPr>
        <w:t>，</w:t>
      </w:r>
      <w:r>
        <w:rPr>
          <w:rFonts w:hint="eastAsia" w:ascii="仿宋_GB2312" w:hAnsi="仿宋_GB2312" w:eastAsia="仿宋_GB2312" w:cs="仿宋_GB2312"/>
          <w:bCs/>
          <w:color w:val="auto"/>
          <w:sz w:val="28"/>
          <w:szCs w:val="28"/>
          <w:lang w:val="en-US" w:eastAsia="zh-CN"/>
        </w:rPr>
        <w:t>另将</w:t>
      </w:r>
      <w:r>
        <w:rPr>
          <w:rFonts w:hint="eastAsia" w:ascii="仿宋_GB2312" w:hAnsi="仿宋_GB2312" w:eastAsia="仿宋_GB2312" w:cs="仿宋_GB2312"/>
          <w:color w:val="auto"/>
          <w:kern w:val="2"/>
          <w:sz w:val="28"/>
          <w:szCs w:val="28"/>
        </w:rPr>
        <w:t>电子稿</w:t>
      </w:r>
      <w:r>
        <w:rPr>
          <w:rFonts w:hint="eastAsia" w:ascii="仿宋_GB2312" w:hAnsi="仿宋_GB2312" w:eastAsia="仿宋_GB2312" w:cs="仿宋_GB2312"/>
          <w:color w:val="auto"/>
          <w:kern w:val="2"/>
          <w:sz w:val="28"/>
          <w:szCs w:val="28"/>
          <w:lang w:eastAsia="zh-CN"/>
        </w:rPr>
        <w:t>发至</w:t>
      </w:r>
      <w:r>
        <w:rPr>
          <w:rFonts w:hint="eastAsia" w:hAnsi="仿宋_GB2312" w:cs="仿宋_GB2312"/>
          <w:color w:val="auto"/>
          <w:kern w:val="2"/>
          <w:sz w:val="28"/>
          <w:szCs w:val="28"/>
          <w:lang w:val="en-US" w:eastAsia="zh-CN"/>
        </w:rPr>
        <w:t>www248</w:t>
      </w:r>
      <w:r>
        <w:rPr>
          <w:rFonts w:hint="eastAsia" w:ascii="仿宋_GB2312" w:hAnsi="仿宋_GB2312" w:eastAsia="仿宋_GB2312" w:cs="仿宋_GB2312"/>
          <w:color w:val="auto"/>
          <w:kern w:val="2"/>
          <w:sz w:val="28"/>
          <w:szCs w:val="28"/>
          <w:lang w:val="en-US" w:eastAsia="zh-CN"/>
        </w:rPr>
        <w:t>@1</w:t>
      </w:r>
      <w:r>
        <w:rPr>
          <w:rFonts w:hint="eastAsia" w:hAnsi="仿宋_GB2312" w:cs="仿宋_GB2312"/>
          <w:color w:val="auto"/>
          <w:kern w:val="2"/>
          <w:sz w:val="28"/>
          <w:szCs w:val="28"/>
          <w:lang w:val="en-US" w:eastAsia="zh-CN"/>
        </w:rPr>
        <w:t>63</w:t>
      </w:r>
      <w:r>
        <w:rPr>
          <w:rFonts w:hint="eastAsia" w:ascii="仿宋_GB2312" w:hAnsi="仿宋_GB2312" w:eastAsia="仿宋_GB2312" w:cs="仿宋_GB2312"/>
          <w:color w:val="auto"/>
          <w:kern w:val="2"/>
          <w:sz w:val="28"/>
          <w:szCs w:val="28"/>
          <w:lang w:val="en-US" w:eastAsia="zh-CN"/>
        </w:rPr>
        <w:t>.com</w:t>
      </w:r>
      <w:r>
        <w:rPr>
          <w:rFonts w:hint="eastAsia" w:hAnsi="仿宋_GB2312" w:cs="仿宋_GB2312"/>
          <w:bCs/>
          <w:color w:val="auto"/>
          <w:sz w:val="28"/>
          <w:szCs w:val="28"/>
          <w:lang w:eastAsia="zh-CN"/>
        </w:rPr>
        <w:t>。</w:t>
      </w:r>
    </w:p>
    <w:p>
      <w:pPr>
        <w:keepNext w:val="0"/>
        <w:keepLines w:val="0"/>
        <w:pageBreakBefore w:val="0"/>
        <w:kinsoku/>
        <w:wordWrap/>
        <w:overflowPunct/>
        <w:topLinePunct w:val="0"/>
        <w:autoSpaceDE/>
        <w:autoSpaceDN/>
        <w:bidi w:val="0"/>
        <w:adjustRightInd/>
        <w:snapToGrid/>
        <w:spacing w:line="500" w:lineRule="exact"/>
        <w:ind w:left="0" w:leftChars="0" w:right="0" w:rightChars="0" w:firstLine="560" w:firstLineChars="200"/>
        <w:textAlignment w:val="auto"/>
        <w:outlineLvl w:val="9"/>
        <w:rPr>
          <w:rFonts w:hint="eastAsia" w:hAnsi="仿宋_GB2312" w:cs="仿宋_GB2312"/>
          <w:bCs/>
          <w:color w:val="auto"/>
          <w:sz w:val="28"/>
          <w:szCs w:val="28"/>
          <w:lang w:val="en-US" w:eastAsia="zh-CN"/>
        </w:rPr>
      </w:pPr>
    </w:p>
    <w:p>
      <w:pPr>
        <w:keepNext w:val="0"/>
        <w:keepLines w:val="0"/>
        <w:pageBreakBefore w:val="0"/>
        <w:kinsoku/>
        <w:wordWrap/>
        <w:overflowPunct/>
        <w:topLinePunct w:val="0"/>
        <w:autoSpaceDE/>
        <w:autoSpaceDN/>
        <w:bidi w:val="0"/>
        <w:adjustRightInd/>
        <w:snapToGrid/>
        <w:spacing w:line="500" w:lineRule="exact"/>
        <w:ind w:left="0" w:leftChars="0" w:right="0" w:rightChars="0" w:firstLine="560" w:firstLineChars="200"/>
        <w:textAlignment w:val="auto"/>
        <w:outlineLvl w:val="9"/>
        <w:rPr>
          <w:rFonts w:hint="eastAsia" w:hAnsi="仿宋_GB2312" w:cs="仿宋_GB2312"/>
          <w:bCs/>
          <w:color w:val="auto"/>
          <w:sz w:val="28"/>
          <w:szCs w:val="28"/>
          <w:lang w:val="en-US" w:eastAsia="zh-CN"/>
        </w:rPr>
      </w:pPr>
    </w:p>
    <w:p>
      <w:pPr>
        <w:keepNext w:val="0"/>
        <w:keepLines w:val="0"/>
        <w:pageBreakBefore w:val="0"/>
        <w:kinsoku/>
        <w:wordWrap/>
        <w:overflowPunct/>
        <w:topLinePunct w:val="0"/>
        <w:autoSpaceDE/>
        <w:autoSpaceDN/>
        <w:bidi w:val="0"/>
        <w:adjustRightInd/>
        <w:snapToGrid/>
        <w:spacing w:line="500" w:lineRule="exact"/>
        <w:ind w:left="0" w:leftChars="0" w:right="0" w:rightChars="0" w:firstLine="560" w:firstLineChars="200"/>
        <w:textAlignment w:val="auto"/>
        <w:outlineLvl w:val="9"/>
        <w:rPr>
          <w:rFonts w:hint="eastAsia" w:ascii="仿宋_GB2312" w:hAnsi="仿宋_GB2312" w:eastAsia="仿宋_GB2312" w:cs="仿宋_GB2312"/>
          <w:bCs/>
          <w:color w:val="auto"/>
          <w:sz w:val="28"/>
          <w:szCs w:val="28"/>
          <w:lang w:val="en-US" w:eastAsia="zh-CN"/>
        </w:rPr>
      </w:pPr>
      <w:r>
        <w:rPr>
          <w:rFonts w:hint="eastAsia" w:ascii="仿宋_GB2312" w:hAnsi="仿宋_GB2312" w:eastAsia="仿宋_GB2312" w:cs="仿宋_GB2312"/>
          <w:bCs/>
          <w:color w:val="auto"/>
          <w:sz w:val="28"/>
          <w:szCs w:val="28"/>
          <w:lang w:val="en-US" w:eastAsia="zh-CN"/>
        </w:rPr>
        <w:t>附件：</w:t>
      </w:r>
    </w:p>
    <w:p>
      <w:pPr>
        <w:keepNext w:val="0"/>
        <w:keepLines w:val="0"/>
        <w:pageBreakBefore w:val="0"/>
        <w:numPr>
          <w:ilvl w:val="0"/>
          <w:numId w:val="0"/>
        </w:numPr>
        <w:kinsoku/>
        <w:wordWrap/>
        <w:overflowPunct/>
        <w:topLinePunct w:val="0"/>
        <w:autoSpaceDE/>
        <w:autoSpaceDN/>
        <w:bidi w:val="0"/>
        <w:adjustRightInd/>
        <w:snapToGrid/>
        <w:spacing w:line="500" w:lineRule="exact"/>
        <w:ind w:right="0" w:rightChars="0" w:firstLine="560" w:firstLineChars="200"/>
        <w:textAlignment w:val="auto"/>
        <w:outlineLvl w:val="9"/>
        <w:rPr>
          <w:rFonts w:hint="eastAsia" w:hAnsi="仿宋_GB2312" w:cs="仿宋_GB2312"/>
          <w:bCs/>
          <w:color w:val="auto"/>
          <w:sz w:val="28"/>
          <w:szCs w:val="28"/>
          <w:lang w:val="en-US" w:eastAsia="zh-CN"/>
        </w:rPr>
      </w:pPr>
      <w:r>
        <w:rPr>
          <w:rFonts w:hint="eastAsia" w:hAnsi="仿宋_GB2312" w:cs="仿宋_GB2312"/>
          <w:bCs/>
          <w:color w:val="auto"/>
          <w:sz w:val="28"/>
          <w:szCs w:val="28"/>
          <w:lang w:val="en-US" w:eastAsia="zh-CN"/>
        </w:rPr>
        <w:t>1.《教育部办公厅关于做好 2022 年高校思想政治工作骨干在职攻读博士学位专项计划工作的通知》（教思政厅函〔2022〕1</w:t>
      </w:r>
      <w:r>
        <w:rPr>
          <w:rFonts w:hint="default" w:hAnsi="仿宋_GB2312" w:cs="仿宋_GB2312"/>
          <w:bCs/>
          <w:color w:val="auto"/>
          <w:sz w:val="28"/>
          <w:szCs w:val="28"/>
          <w:lang w:val="en-US" w:eastAsia="zh-CN"/>
        </w:rPr>
        <w:t xml:space="preserve"> </w:t>
      </w:r>
      <w:r>
        <w:rPr>
          <w:rFonts w:hint="eastAsia" w:hAnsi="仿宋_GB2312" w:cs="仿宋_GB2312"/>
          <w:bCs/>
          <w:color w:val="auto"/>
          <w:sz w:val="28"/>
          <w:szCs w:val="28"/>
          <w:lang w:val="en-US" w:eastAsia="zh-CN"/>
        </w:rPr>
        <w:t>号）</w:t>
      </w:r>
    </w:p>
    <w:p>
      <w:pPr>
        <w:keepNext w:val="0"/>
        <w:keepLines w:val="0"/>
        <w:pageBreakBefore w:val="0"/>
        <w:numPr>
          <w:ilvl w:val="0"/>
          <w:numId w:val="0"/>
        </w:numPr>
        <w:kinsoku/>
        <w:wordWrap/>
        <w:overflowPunct/>
        <w:topLinePunct w:val="0"/>
        <w:autoSpaceDE/>
        <w:autoSpaceDN/>
        <w:bidi w:val="0"/>
        <w:adjustRightInd/>
        <w:snapToGrid/>
        <w:spacing w:line="500" w:lineRule="exact"/>
        <w:ind w:right="0" w:rightChars="0" w:firstLine="560" w:firstLineChars="200"/>
        <w:textAlignment w:val="auto"/>
        <w:outlineLvl w:val="9"/>
        <w:rPr>
          <w:rFonts w:hint="eastAsia" w:hAnsi="仿宋_GB2312" w:cs="仿宋_GB2312"/>
          <w:bCs/>
          <w:color w:val="auto"/>
          <w:sz w:val="28"/>
          <w:szCs w:val="28"/>
          <w:lang w:val="en-US" w:eastAsia="zh-CN"/>
        </w:rPr>
      </w:pPr>
      <w:r>
        <w:rPr>
          <w:rFonts w:hint="eastAsia" w:hAnsi="仿宋_GB2312" w:cs="仿宋_GB2312"/>
          <w:bCs/>
          <w:color w:val="auto"/>
          <w:sz w:val="28"/>
          <w:szCs w:val="28"/>
          <w:lang w:val="en-US" w:eastAsia="zh-CN"/>
        </w:rPr>
        <w:t>2.《转发教育部办公厅关于做好2022年高校思想政治工作骨干在职攻读博士学位专项计划工作的通知》</w:t>
      </w:r>
    </w:p>
    <w:p>
      <w:pPr>
        <w:keepNext w:val="0"/>
        <w:keepLines w:val="0"/>
        <w:pageBreakBefore w:val="0"/>
        <w:numPr>
          <w:ilvl w:val="0"/>
          <w:numId w:val="0"/>
        </w:numPr>
        <w:kinsoku/>
        <w:wordWrap/>
        <w:overflowPunct/>
        <w:topLinePunct w:val="0"/>
        <w:autoSpaceDE/>
        <w:autoSpaceDN/>
        <w:bidi w:val="0"/>
        <w:adjustRightInd/>
        <w:snapToGrid/>
        <w:spacing w:line="500" w:lineRule="exact"/>
        <w:ind w:right="0" w:rightChars="0" w:firstLine="560" w:firstLineChars="200"/>
        <w:textAlignment w:val="auto"/>
        <w:outlineLvl w:val="9"/>
        <w:rPr>
          <w:rFonts w:hint="eastAsia" w:ascii="仿宋_GB2312" w:hAnsi="仿宋_GB2312" w:eastAsia="仿宋_GB2312" w:cs="仿宋_GB2312"/>
          <w:bCs/>
          <w:color w:val="auto"/>
          <w:sz w:val="28"/>
          <w:szCs w:val="28"/>
          <w:lang w:eastAsia="zh-CN"/>
        </w:rPr>
      </w:pPr>
      <w:r>
        <w:rPr>
          <w:rFonts w:hint="eastAsia" w:hAnsi="仿宋_GB2312" w:cs="仿宋_GB2312"/>
          <w:bCs/>
          <w:sz w:val="28"/>
          <w:szCs w:val="28"/>
          <w:lang w:val="en-US" w:eastAsia="zh-CN"/>
        </w:rPr>
        <w:t>3.</w:t>
      </w:r>
      <w:r>
        <w:rPr>
          <w:rFonts w:hint="eastAsia" w:ascii="仿宋_GB2312" w:hAnsi="仿宋_GB2312" w:eastAsia="仿宋_GB2312" w:cs="仿宋_GB2312"/>
          <w:bCs/>
          <w:color w:val="auto"/>
          <w:sz w:val="28"/>
          <w:szCs w:val="28"/>
          <w:lang w:eastAsia="zh-CN"/>
        </w:rPr>
        <w:t>湖南科技学院</w:t>
      </w:r>
      <w:r>
        <w:rPr>
          <w:rFonts w:hint="eastAsia" w:hAnsi="仿宋_GB2312" w:cs="仿宋_GB2312"/>
          <w:bCs/>
          <w:color w:val="auto"/>
          <w:sz w:val="28"/>
          <w:szCs w:val="28"/>
          <w:lang w:val="en-US" w:eastAsia="zh-CN"/>
        </w:rPr>
        <w:t>2022年高校思想政治工作骨干在职攻读博士学位</w:t>
      </w:r>
      <w:r>
        <w:rPr>
          <w:rFonts w:hint="eastAsia" w:hAnsi="仿宋_GB2312" w:cs="仿宋_GB2312"/>
          <w:bCs/>
          <w:color w:val="auto"/>
          <w:sz w:val="28"/>
          <w:szCs w:val="28"/>
          <w:lang w:eastAsia="zh-CN"/>
        </w:rPr>
        <w:t>推荐</w:t>
      </w:r>
      <w:r>
        <w:rPr>
          <w:rFonts w:hint="eastAsia" w:ascii="仿宋_GB2312" w:hAnsi="仿宋_GB2312" w:eastAsia="仿宋_GB2312" w:cs="仿宋_GB2312"/>
          <w:bCs/>
          <w:color w:val="auto"/>
          <w:sz w:val="28"/>
          <w:szCs w:val="28"/>
          <w:lang w:eastAsia="zh-CN"/>
        </w:rPr>
        <w:t>人员基本情况表</w:t>
      </w:r>
    </w:p>
    <w:p>
      <w:pPr>
        <w:keepNext w:val="0"/>
        <w:keepLines w:val="0"/>
        <w:pageBreakBefore w:val="0"/>
        <w:numPr>
          <w:ilvl w:val="0"/>
          <w:numId w:val="0"/>
        </w:numPr>
        <w:kinsoku/>
        <w:wordWrap/>
        <w:overflowPunct/>
        <w:topLinePunct w:val="0"/>
        <w:autoSpaceDE/>
        <w:autoSpaceDN/>
        <w:bidi w:val="0"/>
        <w:adjustRightInd/>
        <w:snapToGrid/>
        <w:spacing w:line="500" w:lineRule="exact"/>
        <w:ind w:left="0" w:leftChars="0" w:right="0" w:rightChars="0" w:firstLine="560" w:firstLineChars="200"/>
        <w:textAlignment w:val="auto"/>
        <w:outlineLvl w:val="9"/>
        <w:rPr>
          <w:rFonts w:hint="default" w:ascii="仿宋_GB2312" w:hAnsi="仿宋_GB2312" w:eastAsia="仿宋_GB2312" w:cs="仿宋_GB2312"/>
          <w:bCs/>
          <w:color w:val="auto"/>
          <w:sz w:val="28"/>
          <w:szCs w:val="28"/>
          <w:lang w:val="en-US" w:eastAsia="zh-CN"/>
        </w:rPr>
      </w:pPr>
      <w:r>
        <w:rPr>
          <w:rFonts w:hint="eastAsia" w:hAnsi="仿宋_GB2312" w:cs="仿宋_GB2312"/>
          <w:bCs/>
          <w:color w:val="auto"/>
          <w:sz w:val="28"/>
          <w:szCs w:val="28"/>
          <w:lang w:val="en-US" w:eastAsia="zh-CN"/>
        </w:rPr>
        <w:t>4.</w:t>
      </w:r>
      <w:r>
        <w:rPr>
          <w:rFonts w:hint="eastAsia" w:hAnsi="仿宋_GB2312" w:cs="仿宋_GB2312"/>
          <w:bCs/>
          <w:color w:val="auto"/>
          <w:sz w:val="28"/>
          <w:szCs w:val="28"/>
          <w:lang w:eastAsia="zh-CN"/>
        </w:rPr>
        <w:t>湖南科技学院教职工申请读博审批表</w:t>
      </w:r>
    </w:p>
    <w:p>
      <w:pPr>
        <w:keepNext w:val="0"/>
        <w:keepLines w:val="0"/>
        <w:pageBreakBefore w:val="0"/>
        <w:kinsoku/>
        <w:wordWrap/>
        <w:overflowPunct/>
        <w:topLinePunct w:val="0"/>
        <w:autoSpaceDE/>
        <w:autoSpaceDN/>
        <w:bidi w:val="0"/>
        <w:adjustRightInd/>
        <w:snapToGrid/>
        <w:spacing w:line="500" w:lineRule="exact"/>
        <w:ind w:left="0" w:leftChars="0" w:right="0" w:rightChars="0"/>
        <w:textAlignment w:val="auto"/>
        <w:outlineLvl w:val="9"/>
        <w:rPr>
          <w:rFonts w:hint="eastAsia" w:ascii="仿宋_GB2312" w:hAnsi="仿宋_GB2312" w:eastAsia="仿宋_GB2312" w:cs="仿宋_GB2312"/>
          <w:bCs/>
          <w:color w:val="auto"/>
          <w:sz w:val="28"/>
          <w:szCs w:val="28"/>
          <w:lang w:val="en-US" w:eastAsia="zh-CN"/>
        </w:rPr>
      </w:pPr>
    </w:p>
    <w:p>
      <w:pPr>
        <w:keepNext w:val="0"/>
        <w:keepLines w:val="0"/>
        <w:pageBreakBefore w:val="0"/>
        <w:kinsoku/>
        <w:wordWrap/>
        <w:overflowPunct/>
        <w:topLinePunct w:val="0"/>
        <w:autoSpaceDE/>
        <w:autoSpaceDN/>
        <w:bidi w:val="0"/>
        <w:adjustRightInd/>
        <w:snapToGrid/>
        <w:spacing w:line="500" w:lineRule="exact"/>
        <w:ind w:left="0" w:leftChars="0" w:right="0" w:rightChars="0"/>
        <w:textAlignment w:val="auto"/>
        <w:outlineLvl w:val="9"/>
        <w:rPr>
          <w:rFonts w:hint="eastAsia" w:ascii="仿宋_GB2312" w:hAnsi="仿宋_GB2312" w:eastAsia="仿宋_GB2312" w:cs="仿宋_GB2312"/>
          <w:bCs/>
          <w:color w:val="auto"/>
          <w:sz w:val="28"/>
          <w:szCs w:val="28"/>
          <w:lang w:val="en-US" w:eastAsia="zh-CN"/>
        </w:rPr>
      </w:pPr>
      <w:bookmarkStart w:id="0" w:name="_GoBack"/>
      <w:bookmarkEnd w:id="0"/>
    </w:p>
    <w:p>
      <w:pPr>
        <w:keepNext w:val="0"/>
        <w:keepLines w:val="0"/>
        <w:pageBreakBefore w:val="0"/>
        <w:kinsoku/>
        <w:wordWrap/>
        <w:overflowPunct/>
        <w:topLinePunct w:val="0"/>
        <w:autoSpaceDE/>
        <w:autoSpaceDN/>
        <w:bidi w:val="0"/>
        <w:adjustRightInd/>
        <w:snapToGrid/>
        <w:spacing w:line="500" w:lineRule="exact"/>
        <w:ind w:left="0" w:leftChars="0" w:right="0" w:rightChars="0" w:firstLine="5880" w:firstLineChars="2100"/>
        <w:textAlignment w:val="auto"/>
        <w:outlineLvl w:val="9"/>
        <w:rPr>
          <w:rFonts w:hint="eastAsia" w:ascii="仿宋_GB2312" w:hAnsi="仿宋_GB2312" w:eastAsia="仿宋_GB2312" w:cs="仿宋_GB2312"/>
          <w:bCs/>
          <w:color w:val="auto"/>
          <w:sz w:val="28"/>
          <w:szCs w:val="28"/>
          <w:lang w:val="en-US" w:eastAsia="zh-CN"/>
        </w:rPr>
      </w:pPr>
      <w:r>
        <w:rPr>
          <w:rFonts w:hint="eastAsia" w:ascii="仿宋_GB2312" w:hAnsi="仿宋_GB2312" w:eastAsia="仿宋_GB2312" w:cs="仿宋_GB2312"/>
          <w:bCs/>
          <w:color w:val="auto"/>
          <w:sz w:val="28"/>
          <w:szCs w:val="28"/>
          <w:lang w:val="en-US" w:eastAsia="zh-CN"/>
        </w:rPr>
        <w:t>人事处</w:t>
      </w:r>
    </w:p>
    <w:p>
      <w:pPr>
        <w:keepNext w:val="0"/>
        <w:keepLines w:val="0"/>
        <w:pageBreakBefore w:val="0"/>
        <w:kinsoku/>
        <w:wordWrap/>
        <w:overflowPunct/>
        <w:topLinePunct w:val="0"/>
        <w:autoSpaceDE/>
        <w:autoSpaceDN/>
        <w:bidi w:val="0"/>
        <w:adjustRightInd/>
        <w:snapToGrid/>
        <w:spacing w:line="500" w:lineRule="exact"/>
        <w:ind w:left="0" w:leftChars="0" w:right="0" w:rightChars="0" w:firstLine="5320" w:firstLineChars="1900"/>
        <w:textAlignment w:val="auto"/>
        <w:outlineLvl w:val="9"/>
        <w:rPr>
          <w:rFonts w:hint="eastAsia" w:ascii="仿宋_GB2312" w:hAnsi="仿宋_GB2312" w:eastAsia="仿宋_GB2312" w:cs="仿宋_GB2312"/>
          <w:bCs/>
          <w:color w:val="auto"/>
          <w:sz w:val="28"/>
          <w:szCs w:val="28"/>
          <w:lang w:val="en-US" w:eastAsia="zh-CN"/>
        </w:rPr>
      </w:pPr>
      <w:r>
        <w:rPr>
          <w:rFonts w:hint="eastAsia" w:ascii="仿宋_GB2312" w:hAnsi="仿宋_GB2312" w:eastAsia="仿宋_GB2312" w:cs="仿宋_GB2312"/>
          <w:bCs/>
          <w:color w:val="auto"/>
          <w:sz w:val="28"/>
          <w:szCs w:val="28"/>
          <w:lang w:val="en-US" w:eastAsia="zh-CN"/>
        </w:rPr>
        <w:t>20</w:t>
      </w:r>
      <w:r>
        <w:rPr>
          <w:rFonts w:hint="eastAsia" w:hAnsi="仿宋_GB2312" w:cs="仿宋_GB2312"/>
          <w:bCs/>
          <w:color w:val="auto"/>
          <w:sz w:val="28"/>
          <w:szCs w:val="28"/>
          <w:lang w:val="en-US" w:eastAsia="zh-CN"/>
        </w:rPr>
        <w:t>22</w:t>
      </w:r>
      <w:r>
        <w:rPr>
          <w:rFonts w:hint="eastAsia" w:ascii="仿宋_GB2312" w:hAnsi="仿宋_GB2312" w:eastAsia="仿宋_GB2312" w:cs="仿宋_GB2312"/>
          <w:bCs/>
          <w:color w:val="auto"/>
          <w:sz w:val="28"/>
          <w:szCs w:val="28"/>
          <w:lang w:val="en-US" w:eastAsia="zh-CN"/>
        </w:rPr>
        <w:t>年</w:t>
      </w:r>
      <w:r>
        <w:rPr>
          <w:rFonts w:hint="eastAsia" w:hAnsi="仿宋_GB2312" w:cs="仿宋_GB2312"/>
          <w:bCs/>
          <w:color w:val="auto"/>
          <w:sz w:val="28"/>
          <w:szCs w:val="28"/>
          <w:lang w:val="en-US" w:eastAsia="zh-CN"/>
        </w:rPr>
        <w:t>1</w:t>
      </w:r>
      <w:r>
        <w:rPr>
          <w:rFonts w:hint="eastAsia" w:ascii="仿宋_GB2312" w:hAnsi="仿宋_GB2312" w:eastAsia="仿宋_GB2312" w:cs="仿宋_GB2312"/>
          <w:bCs/>
          <w:color w:val="auto"/>
          <w:sz w:val="28"/>
          <w:szCs w:val="28"/>
          <w:lang w:val="en-US" w:eastAsia="zh-CN"/>
        </w:rPr>
        <w:t>月</w:t>
      </w:r>
      <w:r>
        <w:rPr>
          <w:rFonts w:hint="eastAsia" w:hAnsi="仿宋_GB2312" w:cs="仿宋_GB2312"/>
          <w:bCs/>
          <w:color w:val="auto"/>
          <w:sz w:val="28"/>
          <w:szCs w:val="28"/>
          <w:lang w:val="en-US" w:eastAsia="zh-CN"/>
        </w:rPr>
        <w:t>28</w:t>
      </w:r>
      <w:r>
        <w:rPr>
          <w:rFonts w:hint="eastAsia" w:ascii="仿宋_GB2312" w:hAnsi="仿宋_GB2312" w:eastAsia="仿宋_GB2312" w:cs="仿宋_GB2312"/>
          <w:bCs/>
          <w:color w:val="auto"/>
          <w:sz w:val="28"/>
          <w:szCs w:val="28"/>
          <w:lang w:val="en-US" w:eastAsia="zh-CN"/>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华文仿宋">
    <w:panose1 w:val="02010600040101010101"/>
    <w:charset w:val="86"/>
    <w:family w:val="auto"/>
    <w:pitch w:val="default"/>
    <w:sig w:usb0="00000287" w:usb1="080F0000" w:usb2="00000000" w:usb3="00000000" w:csb0="0004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7FC0966"/>
    <w:rsid w:val="03864893"/>
    <w:rsid w:val="045C7054"/>
    <w:rsid w:val="057B0901"/>
    <w:rsid w:val="0D6A4F43"/>
    <w:rsid w:val="0DDD78C8"/>
    <w:rsid w:val="10921121"/>
    <w:rsid w:val="10E93412"/>
    <w:rsid w:val="12E27C58"/>
    <w:rsid w:val="13563B06"/>
    <w:rsid w:val="15D838C0"/>
    <w:rsid w:val="18095F74"/>
    <w:rsid w:val="1AD132F3"/>
    <w:rsid w:val="1C1729A7"/>
    <w:rsid w:val="1D6862DF"/>
    <w:rsid w:val="1FB3200E"/>
    <w:rsid w:val="234A319E"/>
    <w:rsid w:val="255D59BB"/>
    <w:rsid w:val="28E45770"/>
    <w:rsid w:val="31D10F4E"/>
    <w:rsid w:val="32C77737"/>
    <w:rsid w:val="34C1027B"/>
    <w:rsid w:val="3ADF4961"/>
    <w:rsid w:val="3B1A2B61"/>
    <w:rsid w:val="47FC0966"/>
    <w:rsid w:val="48376AB4"/>
    <w:rsid w:val="490654A3"/>
    <w:rsid w:val="4DE42FE4"/>
    <w:rsid w:val="4F4E3005"/>
    <w:rsid w:val="506765BF"/>
    <w:rsid w:val="511A01D4"/>
    <w:rsid w:val="54071A30"/>
    <w:rsid w:val="54711129"/>
    <w:rsid w:val="59E80F44"/>
    <w:rsid w:val="5D2725C4"/>
    <w:rsid w:val="5E0B004D"/>
    <w:rsid w:val="5F541E64"/>
    <w:rsid w:val="63386602"/>
    <w:rsid w:val="6CA177AA"/>
    <w:rsid w:val="6D8664AB"/>
    <w:rsid w:val="6D9B043C"/>
    <w:rsid w:val="6FD813E7"/>
    <w:rsid w:val="700D18FD"/>
    <w:rsid w:val="7020094B"/>
    <w:rsid w:val="71C108D5"/>
    <w:rsid w:val="743B4D08"/>
    <w:rsid w:val="744801A3"/>
    <w:rsid w:val="7BF5668C"/>
    <w:rsid w:val="7D085F7C"/>
    <w:rsid w:val="7D3B53A0"/>
    <w:rsid w:val="7DB638F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仿宋_GB2312" w:eastAsia="仿宋_GB2312" w:hAnsiTheme="minorHAnsi" w:cstheme="minorBidi"/>
      <w:kern w:val="2"/>
      <w:sz w:val="32"/>
      <w:szCs w:val="30"/>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Office_11.1.0.11294_F1E327BC-269C-435d-A152-05C5408002CA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2017-11-28T01:59:00Z</dcterms:created>
  <dc:creator>Administrator</dc:creator>
  <cp:lastModifiedBy>湖南科技学院</cp:lastModifiedBy>
  <cp:lastPrinted>2019-11-14T01:48:00Z</cp:lastPrinted>
  <dcterms:modified xsi:type="dcterms:W3CDTF">2022-01-28T08:07:08Z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2052-11.1.0.11294</vt:lpwstr>
  </property>
  <property fmtid="{D5CDD505-2E9C-101B-9397-08002B2CF9AE}" pid="3" name="ICV">
    <vt:lpwstr>F6FAC8898806472B9D2D37C38F06AEA2</vt:lpwstr>
  </property>
</Properties>
</file>